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FLAGG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 xml:space="preserve">Minutes of the Parish Council Meeting held </w:t>
      </w:r>
      <w:r>
        <w:rPr>
          <w:b/>
          <w:bCs/>
          <w:color w:val="000000"/>
          <w:sz w:val="20"/>
        </w:rPr>
        <w:t>Tues</w:t>
      </w:r>
      <w:r>
        <w:rPr>
          <w:b/>
          <w:bCs/>
          <w:color w:val="000000"/>
          <w:sz w:val="20"/>
        </w:rPr>
        <w:t>day 9</w:t>
      </w:r>
      <w:r>
        <w:rPr>
          <w:b/>
          <w:bCs/>
          <w:color w:val="000000"/>
          <w:sz w:val="20"/>
          <w:vertAlign w:val="superscript"/>
        </w:rPr>
        <w:t>th</w:t>
      </w:r>
      <w:r>
        <w:rPr>
          <w:b/>
          <w:bCs/>
          <w:color w:val="000000"/>
          <w:sz w:val="20"/>
        </w:rPr>
        <w:t xml:space="preserve"> May 2017</w:t>
      </w:r>
    </w:p>
    <w:p>
      <w:pPr>
        <w:pStyle w:val="Normal"/>
        <w:rPr>
          <w:b/>
          <w:bCs/>
          <w:color w:val="000000"/>
          <w:sz w:val="20"/>
        </w:rPr>
      </w:pPr>
      <w:r>
        <w:rPr>
          <w:b/>
          <w:bCs/>
          <w:color w:val="000000"/>
          <w:sz w:val="20"/>
        </w:rPr>
      </w:r>
    </w:p>
    <w:p>
      <w:pPr>
        <w:pStyle w:val="TextBody"/>
        <w:rPr>
          <w:b w:val="false"/>
          <w:bCs w:val="false"/>
          <w:color w:val="000000"/>
          <w:sz w:val="20"/>
        </w:rPr>
      </w:pPr>
      <w:r>
        <w:rPr>
          <w:color w:val="000000"/>
          <w:sz w:val="20"/>
        </w:rPr>
        <w:t xml:space="preserve">Present:   </w:t>
      </w:r>
      <w:r>
        <w:rPr>
          <w:b w:val="false"/>
          <w:bCs w:val="false"/>
          <w:color w:val="000000"/>
          <w:sz w:val="20"/>
        </w:rPr>
        <w:t>Parish Cllrs , Jean Dicken (Chair). Mavis Mycock, Sue Naylor.</w:t>
      </w:r>
    </w:p>
    <w:p>
      <w:pPr>
        <w:pStyle w:val="TextBody"/>
        <w:rPr>
          <w:b w:val="false"/>
          <w:bCs w:val="false"/>
          <w:color w:val="000000"/>
          <w:sz w:val="20"/>
        </w:rPr>
      </w:pPr>
      <w:r>
        <w:rPr>
          <w:b w:val="false"/>
          <w:bCs w:val="false"/>
          <w:color w:val="000000"/>
          <w:sz w:val="20"/>
        </w:rPr>
        <w:t>Members of the Public, Brenda Murray, Gordon Murray, Ron Beresford.</w:t>
      </w:r>
    </w:p>
    <w:p>
      <w:pPr>
        <w:pStyle w:val="TextBody"/>
        <w:rPr>
          <w:b w:val="false"/>
          <w:bCs w:val="false"/>
          <w:color w:val="000000"/>
          <w:sz w:val="20"/>
        </w:rPr>
      </w:pPr>
      <w:r>
        <w:rPr>
          <w:b w:val="false"/>
          <w:bCs w:val="false"/>
          <w:color w:val="000000"/>
          <w:sz w:val="20"/>
        </w:rPr>
        <w:t xml:space="preserve">S Mansfield (Clerk of Flagg Parish Council);  </w:t>
      </w:r>
    </w:p>
    <w:tbl>
      <w:tblPr>
        <w:jc w:val="left"/>
        <w:tblInd w:w="-118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65"/>
        <w:gridCol w:w="9968"/>
      </w:tblGrid>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09/05/17/01</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All Parish Councillors present were noted on the Attendance register by the Clerk prior to the commencement of the meeting. Councillor Val Palfreyman had given apologies prior to the meeting due to illness.</w:t>
            </w:r>
          </w:p>
          <w:p>
            <w:pPr>
              <w:pStyle w:val="TextBody"/>
              <w:spacing w:lineRule="auto" w:line="288" w:before="0" w:after="0"/>
              <w:rPr>
                <w:b w:val="false"/>
                <w:bCs w:val="false"/>
                <w:color w:val="000000"/>
                <w:sz w:val="24"/>
                <w:szCs w:val="24"/>
              </w:rPr>
            </w:pPr>
            <w:r>
              <w:rPr>
                <w:b w:val="false"/>
                <w:bCs w:val="false"/>
                <w:color w:val="000000"/>
                <w:sz w:val="24"/>
                <w:szCs w:val="24"/>
              </w:rPr>
              <w:t>Members of the Public were all known to the Chair and identified themselves to the Clerk as follows;  Mrs Brenda Murray, Mr Gordon Murray, Mr Alan Westwood, Mrs Westwood, Mr Jim Harris,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09/05/17/02</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Variation of Order of Business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There were no requests to vary the order of business,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09/05/17/03</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Declarations of Member's Interests</w:t>
            </w:r>
          </w:p>
          <w:p>
            <w:pPr>
              <w:pStyle w:val="TextBody"/>
              <w:spacing w:lineRule="auto" w:line="288" w:before="0" w:after="140"/>
              <w:rPr>
                <w:b w:val="false"/>
                <w:bCs w:val="false"/>
                <w:color w:val="000000"/>
                <w:sz w:val="24"/>
                <w:szCs w:val="24"/>
              </w:rPr>
            </w:pPr>
            <w:r>
              <w:rPr>
                <w:b w:val="false"/>
                <w:bCs w:val="false"/>
                <w:color w:val="000000"/>
                <w:sz w:val="24"/>
                <w:szCs w:val="24"/>
              </w:rPr>
              <w:t>No new declarations were made.</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sz w:val="24"/>
                <w:szCs w:val="24"/>
              </w:rPr>
            </w:pPr>
            <w:r>
              <w:rPr>
                <w:b w:val="false"/>
                <w:bCs w:val="false"/>
                <w:sz w:val="24"/>
                <w:szCs w:val="24"/>
              </w:rPr>
              <w:t>There were no new declarations or requests for dispensations.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09/05/17/04</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Determination of Confidential Items</w:t>
            </w:r>
          </w:p>
        </w:tc>
      </w:tr>
      <w:tr>
        <w:trPr>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4</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jc w:val="left"/>
              <w:rPr>
                <w:b w:val="false"/>
                <w:bCs w:val="false"/>
                <w:color w:val="000000"/>
                <w:sz w:val="24"/>
                <w:szCs w:val="24"/>
                <w:shd w:fill="FFFFFF" w:val="clear"/>
              </w:rPr>
            </w:pPr>
            <w:r>
              <w:rPr>
                <w:b w:val="false"/>
                <w:bCs w:val="false"/>
                <w:color w:val="000000"/>
                <w:sz w:val="24"/>
                <w:szCs w:val="24"/>
                <w:shd w:fill="FFFFFF" w:val="clear"/>
              </w:rPr>
              <w:t xml:space="preserve">As members of the Public were present this item was determined but it was resolved that there were no confidential items on the agenda. </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Minutes of the meeting held 14</w:t>
            </w:r>
            <w:r>
              <w:rPr>
                <w:b/>
                <w:bCs/>
                <w:color w:val="000000"/>
                <w:sz w:val="24"/>
                <w:szCs w:val="24"/>
                <w:shd w:fill="FFFFFF" w:val="clear"/>
                <w:vertAlign w:val="superscript"/>
              </w:rPr>
              <w:t>th</w:t>
            </w:r>
            <w:r>
              <w:rPr>
                <w:b/>
                <w:bCs/>
                <w:color w:val="000000"/>
                <w:sz w:val="24"/>
                <w:szCs w:val="24"/>
                <w:shd w:fill="FFFFFF" w:val="clear"/>
              </w:rPr>
              <w:t xml:space="preserve"> March 2017</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The Clerk was asked to note and correct that it was New Home hospital.</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09/05/17/06</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Matters arising from minutes of previous meeting</w:t>
            </w:r>
          </w:p>
        </w:tc>
      </w:tr>
      <w:tr>
        <w:trPr>
          <w:trHeight w:val="320"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none</w:t>
            </w:r>
          </w:p>
        </w:tc>
      </w:tr>
      <w:tr>
        <w:trPr>
          <w:trHeight w:val="237"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09/05/17/07</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Public Speaking</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7</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None</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09/05/17/08</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Managed Works</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8.1 A sign should be placed on the Parish Council Car Park just after the bend in Mycock Lane stating “No Overnight Parking” and “Cars Parked at Owners Risk”</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8.2) No further action to be taken on the Parish Croft – pending further discussions.</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466"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09/05/17/09</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 xml:space="preserve">Reporting of Highway Defects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9.1) The Clerk was instructed to contact Derbyshire County Council and report the problem of the grid at corner of Mycock Lane and Main Rd.</w:t>
            </w:r>
          </w:p>
        </w:tc>
      </w:tr>
      <w:tr>
        <w:trPr>
          <w:trHeight w:val="27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7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09/05/17/10</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Policies and Procedures.</w:t>
            </w:r>
          </w:p>
        </w:tc>
      </w:tr>
      <w:tr>
        <w:trPr>
          <w:trHeight w:val="27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shd w:fill="FFFFFF" w:val="clear"/>
              </w:rPr>
            </w:pPr>
            <w:r>
              <w:rPr>
                <w:shd w:fill="FFFFFF" w:val="clear"/>
              </w:rPr>
              <w:t>There was an in depth discussion of the rent payments for and the distribution of the revenue to widows of the Parish.</w:t>
            </w:r>
          </w:p>
          <w:p>
            <w:pPr>
              <w:pStyle w:val="Normal"/>
              <w:spacing w:lineRule="auto" w:line="288"/>
              <w:rPr>
                <w:shd w:fill="FFFFFF" w:val="clear"/>
              </w:rPr>
            </w:pPr>
            <w:r>
              <w:rPr>
                <w:shd w:fill="FFFFFF" w:val="clear"/>
              </w:rPr>
              <w:t xml:space="preserve">    </w:t>
            </w:r>
          </w:p>
        </w:tc>
      </w:tr>
      <w:tr>
        <w:trPr>
          <w:trHeight w:val="420"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09/05/17/11</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Planning</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1.No objections to application for Unitarian Chapel</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09/05/17/12</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Chairman's Announcements</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12.1) There has been a communication from Karen Carpenter, Derbyshire Dales Environmental Health Officer. This concerns a consultative process for the operators license at the new plant to be sited at Edge Farm Green Energy, Edge Farm, Flagg. It was resolved that the Clerk should work with Mr Alan Westwood and other residents to draw up an agenda for a public meeting to be held 24</w:t>
            </w:r>
            <w:r>
              <w:rPr>
                <w:b w:val="false"/>
                <w:bCs w:val="false"/>
                <w:color w:val="000000"/>
                <w:sz w:val="24"/>
                <w:szCs w:val="24"/>
                <w:shd w:fill="FFFFFF" w:val="clear"/>
                <w:vertAlign w:val="superscript"/>
              </w:rPr>
              <w:t>th</w:t>
            </w:r>
            <w:r>
              <w:rPr>
                <w:b w:val="false"/>
                <w:bCs w:val="false"/>
                <w:color w:val="000000"/>
                <w:sz w:val="24"/>
                <w:szCs w:val="24"/>
                <w:shd w:fill="FFFFFF" w:val="clear"/>
              </w:rPr>
              <w:t xml:space="preserve"> May 2017 in the Village Hall. The Parish Councillors wished it to be an agenda for a constructive and cooperative meeting.</w:t>
            </w:r>
          </w:p>
          <w:p>
            <w:pPr>
              <w:pStyle w:val="TextBody"/>
              <w:spacing w:lineRule="auto" w:line="288" w:before="0" w:after="0"/>
              <w:rPr/>
            </w:pPr>
            <w:r>
              <w:rPr/>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09/05/17/13</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Updates from the Clerk including Correspondence Received</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rStyle w:val="InternetLink"/>
                <w:b w:val="false"/>
                <w:bCs w:val="false"/>
                <w:color w:val="000000"/>
                <w:sz w:val="24"/>
                <w:szCs w:val="24"/>
                <w:shd w:fill="FFFFFF" w:val="clear"/>
              </w:rPr>
            </w:pPr>
            <w:r>
              <w:rPr>
                <w:b w:val="false"/>
                <w:bCs w:val="false"/>
                <w:color w:val="000000"/>
                <w:sz w:val="24"/>
                <w:szCs w:val="24"/>
                <w:shd w:fill="FFFFFF" w:val="clear"/>
              </w:rPr>
              <w:t xml:space="preserve">13.1) The new Flagg website is operational and can be seen on </w:t>
            </w:r>
            <w:hyperlink r:id="rId2">
              <w:r>
                <w:rPr>
                  <w:rStyle w:val="InternetLink"/>
                  <w:b w:val="false"/>
                  <w:bCs w:val="false"/>
                  <w:color w:val="000000"/>
                  <w:sz w:val="24"/>
                  <w:szCs w:val="24"/>
                  <w:shd w:fill="FFFFFF" w:val="clear"/>
                </w:rPr>
                <w:t>www.flagg-pc.org</w:t>
              </w:r>
            </w:hyperlink>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13.2) Records are in good order but still gathering detail and historical knowledge for the collection and  distribution of rents monies relating to Parish fields and paddocks.</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13.3) Other villages on the Cycle road race receive donations from the organisers but Flagg does not. Could this be queried with the organisers. (Mr Dungerworth has retired)</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13.4) The Clerk to find out the date for road running race.</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13.50 Councillors agree to proceed with the application for the Transparency Fund grant.</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13.6) Clerk to place order for Defibrillator.</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13.7) Work on redundant recycling area is in progress.</w:t>
            </w:r>
          </w:p>
          <w:p>
            <w:pPr>
              <w:pStyle w:val="TextBody"/>
              <w:spacing w:lineRule="auto" w:line="288" w:before="0" w:after="0"/>
              <w:rPr/>
            </w:pPr>
            <w:r>
              <w:rPr/>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The Clerk was instructed to contact Mrs Brown, the headteacher of the Nursery School to ascertain the amount of the shortfall that is currently needed to cover the costs of tarmacing the yard.</w:t>
            </w:r>
          </w:p>
          <w:p>
            <w:pPr>
              <w:pStyle w:val="TextBody"/>
              <w:spacing w:lineRule="auto" w:line="288" w:before="0" w:after="0"/>
              <w:rPr/>
            </w:pPr>
            <w:r>
              <w:rPr/>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09/05/17/14</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Finance</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left"/>
              <w:rPr>
                <w:color w:val="000000"/>
                <w:sz w:val="24"/>
                <w:szCs w:val="24"/>
                <w:shd w:fill="FFFFFF" w:val="clear"/>
              </w:rPr>
            </w:pPr>
            <w:r>
              <w:rPr>
                <w:b/>
                <w:bCs/>
                <w:color w:val="000000"/>
                <w:sz w:val="28"/>
                <w:szCs w:val="28"/>
                <w:shd w:fill="FFFFFF" w:val="clear"/>
              </w:rPr>
              <w:t>1) Current Account balance stands at</w:t>
            </w:r>
            <w:r>
              <w:rPr>
                <w:color w:val="000000"/>
                <w:sz w:val="24"/>
                <w:szCs w:val="24"/>
                <w:shd w:fill="FFFFFF" w:val="clear"/>
              </w:rPr>
              <w:t xml:space="preserve"> £4,874.94 from bank statements issued on 5th January 2017. The Clerk calculates that with expenditures made since that date up to 14</w:t>
            </w:r>
            <w:r>
              <w:rPr>
                <w:color w:val="000000"/>
                <w:sz w:val="24"/>
                <w:szCs w:val="24"/>
                <w:shd w:fill="FFFFFF" w:val="clear"/>
                <w:vertAlign w:val="superscript"/>
              </w:rPr>
              <w:t>th</w:t>
            </w:r>
            <w:r>
              <w:rPr>
                <w:color w:val="000000"/>
                <w:sz w:val="24"/>
                <w:szCs w:val="24"/>
                <w:shd w:fill="FFFFFF" w:val="clear"/>
              </w:rPr>
              <w:t xml:space="preserve"> March 2017 the current balance is £4......</w:t>
            </w:r>
          </w:p>
          <w:p>
            <w:pPr>
              <w:pStyle w:val="Normal"/>
              <w:jc w:val="left"/>
              <w:rPr/>
            </w:pPr>
            <w:r>
              <w:rPr/>
            </w:r>
          </w:p>
          <w:p>
            <w:pPr>
              <w:pStyle w:val="Normal"/>
              <w:jc w:val="left"/>
              <w:rPr>
                <w:color w:val="000000"/>
                <w:sz w:val="24"/>
                <w:szCs w:val="24"/>
                <w:shd w:fill="FFFFFF" w:val="clear"/>
              </w:rPr>
            </w:pPr>
            <w:r>
              <w:rPr>
                <w:b/>
                <w:bCs/>
                <w:color w:val="000000"/>
                <w:sz w:val="24"/>
                <w:szCs w:val="24"/>
                <w:shd w:fill="FFFFFF" w:val="clear"/>
              </w:rPr>
              <w:t>2) Cash Account Balance, in two sums,</w:t>
            </w:r>
            <w:r>
              <w:rPr>
                <w:color w:val="000000"/>
                <w:sz w:val="24"/>
                <w:szCs w:val="24"/>
                <w:shd w:fill="FFFFFF" w:val="clear"/>
              </w:rPr>
              <w:t xml:space="preserve"> £14.88 + £3.88 =      £18.76</w:t>
            </w:r>
          </w:p>
          <w:p>
            <w:pPr>
              <w:pStyle w:val="Normal"/>
              <w:jc w:val="left"/>
              <w:rPr>
                <w:color w:val="000000"/>
                <w:sz w:val="24"/>
                <w:szCs w:val="24"/>
                <w:shd w:fill="FFFFFF" w:val="clear"/>
              </w:rPr>
            </w:pPr>
            <w:r>
              <w:rPr>
                <w:color w:val="000000"/>
                <w:sz w:val="24"/>
                <w:szCs w:val="24"/>
                <w:shd w:fill="FFFFFF" w:val="clear"/>
              </w:rPr>
            </w:r>
          </w:p>
          <w:p>
            <w:pPr>
              <w:pStyle w:val="Normal"/>
              <w:jc w:val="left"/>
              <w:rPr>
                <w:rFonts w:cs="Arial"/>
                <w:b/>
                <w:bCs/>
                <w:color w:val="000000"/>
                <w:sz w:val="24"/>
                <w:szCs w:val="24"/>
                <w:shd w:fill="FFFFFF" w:val="clear"/>
              </w:rPr>
            </w:pPr>
            <w:r>
              <w:rPr>
                <w:rFonts w:cs="Arial"/>
                <w:b/>
                <w:bCs/>
                <w:color w:val="000000"/>
                <w:sz w:val="24"/>
                <w:szCs w:val="24"/>
                <w:shd w:fill="FFFFFF" w:val="clear"/>
              </w:rPr>
              <w:t>3) The following expenditure was approved:</w:t>
            </w:r>
          </w:p>
          <w:p>
            <w:pPr>
              <w:pStyle w:val="Normal"/>
              <w:jc w:val="left"/>
              <w:rPr>
                <w:color w:val="000000"/>
                <w:shd w:fill="FFFFFF" w:val="clear"/>
              </w:rPr>
            </w:pPr>
            <w:r>
              <w:rPr>
                <w:color w:val="000000"/>
                <w:shd w:fill="FFFFFF" w:val="clear"/>
              </w:rPr>
            </w:r>
          </w:p>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r>
          </w:p>
          <w:tbl>
            <w:tblPr>
              <w:jc w:val="left"/>
              <w:tblInd w:w="829"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3" w:type="dxa"/>
                <w:bottom w:w="0" w:type="dxa"/>
                <w:right w:w="108" w:type="dxa"/>
              </w:tblCellMar>
            </w:tblPr>
            <w:tblGrid>
              <w:gridCol w:w="1171"/>
              <w:gridCol w:w="2950"/>
              <w:gridCol w:w="2876"/>
              <w:gridCol w:w="1774"/>
            </w:tblGrid>
            <w:tr>
              <w:trPr>
                <w:trHeight w:val="283" w:hRule="atLeast"/>
                <w:cantSplit w:val="false"/>
              </w:trPr>
              <w:tc>
                <w:tcPr>
                  <w:tcW w:w="1171"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50"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76"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74"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000254</w:t>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HMRC PAYE (Cheque  issued 12/4/17)</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PAYE liability to 31</w:t>
                  </w:r>
                  <w:r>
                    <w:rPr>
                      <w:vertAlign w:val="superscript"/>
                    </w:rPr>
                    <w:t>st</w:t>
                  </w:r>
                  <w:r>
                    <w:rPr/>
                    <w:t xml:space="preserve"> March 2017 </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£28.60</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000255</w:t>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Clerk S. Mansfield Salary (Cheque issued 12/4/17 )</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Salary to 31</w:t>
                  </w:r>
                  <w:r>
                    <w:rPr>
                      <w:vertAlign w:val="superscript"/>
                    </w:rPr>
                    <w:t>st</w:t>
                  </w:r>
                  <w:r>
                    <w:rPr/>
                    <w:t xml:space="preserve"> March 2017</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£114.95</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000256</w:t>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Community Lincs Insurance Brokers</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Annual Insurance Renewal</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£160.65</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000257</w:t>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 xml:space="preserve">Flagg Village Hall </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Hire of hall for meetings</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£120.00</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000258</w:t>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Primary Care Supplies</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Defibrillator</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£1498.80</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TOTAL PAYMENTS</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Following</w:t>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 xml:space="preserve">Payments deferred until  </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Next meeting</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Clerk S. Mansfield travel expenses</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Four extra visits to Flagg at £0.45p per mile 11miles round trip from SK17 0RN</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£19.80</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Clerk S. Mansfield postage expenses</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Special Delivery to DDDC Environmental Officer</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£6.45</w:t>
                  </w:r>
                </w:p>
              </w:tc>
            </w:tr>
            <w:tr>
              <w:trPr>
                <w:trHeight w:val="283" w:hRule="atLeast"/>
                <w:cantSplit w:val="false"/>
              </w:trPr>
              <w:tc>
                <w:tcPr>
                  <w:tcW w:w="117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DALC</w:t>
                  </w:r>
                </w:p>
              </w:tc>
              <w:tc>
                <w:tcPr>
                  <w:tcW w:w="2876"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Annual Subscription</w:t>
                  </w:r>
                </w:p>
              </w:tc>
              <w:tc>
                <w:tcPr>
                  <w:tcW w:w="1774"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r>
                </w:p>
              </w:tc>
            </w:tr>
          </w:tbl>
          <w:p>
            <w:pPr>
              <w:pStyle w:val="Normal"/>
              <w:suppressAutoHyphens w:val="false"/>
              <w:spacing w:lineRule="auto" w:line="240" w:before="0" w:after="0"/>
              <w:ind w:left="0" w:right="0" w:hanging="0"/>
              <w:jc w:val="both"/>
              <w:rPr>
                <w:rFonts w:ascii="Century Schoolbook L" w:hAnsi="Century Schoolbook L"/>
                <w:color w:val="000000"/>
                <w:sz w:val="28"/>
                <w:szCs w:val="28"/>
                <w:shd w:fill="FFFFFF" w:val="clear"/>
              </w:rPr>
            </w:pPr>
            <w:r>
              <w:rPr>
                <w:rFonts w:ascii="Century Schoolbook L" w:hAnsi="Century Schoolbook L"/>
                <w:color w:val="000000"/>
                <w:sz w:val="24"/>
                <w:szCs w:val="24"/>
                <w:shd w:fill="FFFFFF" w:val="clear"/>
              </w:rPr>
              <w:t xml:space="preserve">                                                                                                                  </w:t>
            </w:r>
            <w:r>
              <w:rPr>
                <w:rFonts w:ascii="Century Schoolbook L" w:hAnsi="Century Schoolbook L"/>
                <w:color w:val="000000"/>
                <w:sz w:val="28"/>
                <w:szCs w:val="28"/>
                <w:shd w:fill="FFFFFF" w:val="clear"/>
              </w:rPr>
              <w:t>(total £)</w:t>
            </w:r>
          </w:p>
          <w:p>
            <w:pPr>
              <w:pStyle w:val="Normal"/>
              <w:jc w:val="left"/>
              <w:rPr>
                <w:color w:val="000000"/>
                <w:shd w:fill="FFFFFF" w:val="clear"/>
              </w:rPr>
            </w:pPr>
            <w:r>
              <w:rPr>
                <w:color w:val="000000"/>
                <w:shd w:fill="FFFFFF" w:val="clear"/>
              </w:rPr>
            </w:r>
          </w:p>
          <w:p>
            <w:pPr>
              <w:pStyle w:val="Normal"/>
              <w:jc w:val="left"/>
              <w:rPr>
                <w:color w:val="000000"/>
                <w:shd w:fill="FFFFFF" w:val="clear"/>
              </w:rPr>
            </w:pPr>
            <w:r>
              <w:rPr>
                <w:color w:val="000000"/>
                <w:shd w:fill="FFFFFF" w:val="clear"/>
              </w:rPr>
            </w:r>
          </w:p>
          <w:p>
            <w:pPr>
              <w:pStyle w:val="Normal"/>
              <w:jc w:val="left"/>
              <w:rPr>
                <w:rFonts w:cs="Arial"/>
                <w:b/>
                <w:bCs/>
                <w:color w:val="000000"/>
                <w:sz w:val="24"/>
                <w:szCs w:val="24"/>
                <w:shd w:fill="FFFFFF" w:val="clear"/>
              </w:rPr>
            </w:pPr>
            <w:r>
              <w:rPr>
                <w:rFonts w:cs="Arial"/>
                <w:b/>
                <w:bCs/>
                <w:color w:val="000000"/>
                <w:sz w:val="24"/>
                <w:szCs w:val="24"/>
                <w:shd w:fill="FFFFFF" w:val="clear"/>
              </w:rPr>
              <w:t xml:space="preserve">Liabilities and other disbursements paid by cheque </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Work done to be approved, signed off and paid</w:t>
            </w:r>
          </w:p>
          <w:p>
            <w:pPr>
              <w:pStyle w:val="Normal"/>
              <w:jc w:val="left"/>
              <w:rPr>
                <w:color w:val="000000"/>
                <w:shd w:fill="FFFFFF" w:val="clear"/>
              </w:rPr>
            </w:pPr>
            <w:r>
              <w:rPr>
                <w:color w:val="000000"/>
                <w:shd w:fill="FFFFFF" w:val="clear"/>
              </w:rPr>
              <w:t>None</w:t>
            </w:r>
          </w:p>
          <w:p>
            <w:pPr>
              <w:pStyle w:val="Normal"/>
              <w:jc w:val="left"/>
              <w:rPr/>
            </w:pPr>
            <w:r>
              <w:rPr/>
            </w:r>
          </w:p>
          <w:p>
            <w:pPr>
              <w:pStyle w:val="Normal"/>
              <w:jc w:val="left"/>
              <w:rPr>
                <w:b/>
                <w:bCs/>
                <w:color w:val="000000"/>
                <w:sz w:val="24"/>
                <w:szCs w:val="24"/>
                <w:shd w:fill="FFFFFF" w:val="clear"/>
              </w:rPr>
            </w:pPr>
            <w:r>
              <w:rPr>
                <w:b/>
                <w:bCs/>
                <w:color w:val="000000"/>
                <w:sz w:val="24"/>
                <w:szCs w:val="24"/>
                <w:shd w:fill="FFFFFF" w:val="clear"/>
              </w:rPr>
              <w:t>4) The following income was reported by the Clerk</w:t>
            </w:r>
          </w:p>
          <w:p>
            <w:pPr>
              <w:pStyle w:val="Normal"/>
              <w:jc w:val="left"/>
              <w:rPr>
                <w:color w:val="000000"/>
                <w:shd w:fill="FFFFFF" w:val="clear"/>
              </w:rPr>
            </w:pPr>
            <w:r>
              <w:rPr>
                <w:color w:val="000000"/>
                <w:shd w:fill="FFFFFF" w:val="clear"/>
              </w:rPr>
              <w:t>None</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5) Accounts Reconciliation</w:t>
            </w:r>
          </w:p>
          <w:p>
            <w:pPr>
              <w:pStyle w:val="Normal"/>
              <w:jc w:val="left"/>
              <w:rPr>
                <w:b/>
                <w:bCs/>
                <w:color w:val="000000"/>
                <w:shd w:fill="FFFFFF" w:val="clear"/>
              </w:rPr>
            </w:pPr>
            <w:r>
              <w:rPr>
                <w:b/>
                <w:bCs/>
                <w:color w:val="000000"/>
                <w:shd w:fill="FFFFFF" w:val="clear"/>
              </w:rPr>
            </w:r>
          </w:p>
          <w:p>
            <w:pPr>
              <w:pStyle w:val="Normal"/>
              <w:jc w:val="left"/>
              <w:rPr>
                <w:b w:val="false"/>
                <w:bCs w:val="false"/>
                <w:color w:val="000000"/>
                <w:shd w:fill="FFFFFF" w:val="clear"/>
              </w:rPr>
            </w:pPr>
            <w:r>
              <w:rPr>
                <w:b w:val="false"/>
                <w:bCs w:val="false"/>
                <w:color w:val="000000"/>
                <w:shd w:fill="FFFFFF" w:val="clear"/>
              </w:rPr>
              <w:t>The Clerk will obtain bank statements and contact the Internal Auditor to arrange for Year End accounts inspection.</w:t>
            </w:r>
          </w:p>
          <w:p>
            <w:pPr>
              <w:pStyle w:val="Normal"/>
              <w:jc w:val="left"/>
              <w:rPr>
                <w:rFonts w:cs="Arial"/>
                <w:color w:val="000000"/>
                <w:sz w:val="24"/>
                <w:szCs w:val="24"/>
                <w:shd w:fill="FFFFFF" w:val="clear"/>
              </w:rPr>
            </w:pPr>
            <w:r>
              <w:rPr>
                <w:rFonts w:cs="Arial"/>
                <w:color w:val="000000"/>
                <w:sz w:val="24"/>
                <w:szCs w:val="24"/>
                <w:shd w:fill="FFFFFF" w:val="clear"/>
              </w:rPr>
              <w:t xml:space="preserve"> </w:t>
            </w:r>
          </w:p>
          <w:p>
            <w:pPr>
              <w:pStyle w:val="Normal"/>
              <w:jc w:val="left"/>
              <w:rPr>
                <w:rFonts w:cs="Arial"/>
                <w:color w:val="000000"/>
                <w:sz w:val="24"/>
                <w:szCs w:val="24"/>
                <w:shd w:fill="FFFFFF" w:val="clear"/>
              </w:rPr>
            </w:pPr>
            <w:r>
              <w:rPr>
                <w:rFonts w:cs="Arial"/>
                <w:color w:val="000000"/>
                <w:sz w:val="24"/>
                <w:szCs w:val="24"/>
                <w:shd w:fill="FFFFFF" w:val="clear"/>
              </w:rPr>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09/05/17/15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Date and time of next meeting</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Next meeting date and time was agreed as </w:t>
            </w:r>
          </w:p>
          <w:p>
            <w:pPr>
              <w:pStyle w:val="TextBody"/>
              <w:spacing w:lineRule="atLeast" w:line="100" w:before="0" w:after="140"/>
              <w:rPr>
                <w:rFonts w:cs="Arial"/>
                <w:b w:val="false"/>
                <w:bCs w:val="false"/>
                <w:color w:val="000000"/>
                <w:sz w:val="24"/>
                <w:szCs w:val="24"/>
                <w:shd w:fill="FFFFFF" w:val="clear"/>
              </w:rPr>
            </w:pPr>
            <w:r>
              <w:rPr>
                <w:rFonts w:cs="Arial"/>
                <w:b w:val="false"/>
                <w:bCs w:val="false"/>
                <w:color w:val="000000"/>
                <w:sz w:val="24"/>
                <w:szCs w:val="24"/>
                <w:shd w:fill="FFFFFF" w:val="clear"/>
              </w:rPr>
              <w:t>Tuesday July 11th 2017 at 7:30pm in the Village Hall.</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20:40 hours.</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09/05/17/15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AOB</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pPr>
            <w:r>
              <w:rPr/>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pPr>
            <w:r>
              <w:rPr/>
            </w:r>
          </w:p>
        </w:tc>
      </w:tr>
    </w:tbl>
    <w:p>
      <w:pPr>
        <w:pStyle w:val="Header"/>
        <w:rPr/>
      </w:pPr>
      <w:r>
        <w:rPr/>
      </w:r>
    </w:p>
    <w:p>
      <w:pPr>
        <w:pStyle w:val="Header"/>
        <w:rPr/>
      </w:pPr>
      <w:r>
        <w:rPr/>
      </w:r>
    </w:p>
    <w:p>
      <w:pPr>
        <w:pStyle w:val="Header"/>
        <w:rPr/>
      </w:pPr>
      <w:r>
        <w:rPr/>
      </w:r>
    </w:p>
    <w:p>
      <w:pPr>
        <w:pStyle w:val="Header"/>
        <w:rPr/>
      </w:pPr>
      <w:r>
        <w:rPr/>
      </w:r>
    </w:p>
    <w:sectPr>
      <w:headerReference w:type="default" r:id="rId3"/>
      <w:footerReference w:type="default" r:id="rId4"/>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3</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3</w:t>
    </w:r>
    <w:r>
      <w:fldChar w:fldCharType="end"/>
    </w:r>
    <w:r>
      <w:rPr>
        <w:color w:val="000000"/>
        <w:sz w:val="16"/>
        <w:lang w:val="en-US"/>
      </w:rPr>
      <w:t xml:space="preserve">  Page                                                                     Flagg Parish Council Meeting 09/05/17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FF0000"/>
      </w:rPr>
    </w:pPr>
    <w:r>
      <w:rPr>
        <w:color w:val="FF0000"/>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gg-pc.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2017-06-25T12:00:49Z</dcterms:modified>
  <cp:revision>17</cp:revision>
  <dc:title>HARTINGTON UPPER QUARTER PARISH COUNCIL</dc:title>
</cp:coreProperties>
</file>